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400" w:lineRule="auto"/>
        <w:rPr/>
      </w:pPr>
      <w:r w:rsidDel="00000000" w:rsidR="00000000" w:rsidRPr="00000000">
        <w:rPr>
          <w:b w:val="1"/>
          <w:bCs w:val="1"/>
          <w:color w:val="2e75b6"/>
          <w:sz w:val="30"/>
          <w:szCs w:val="30"/>
          <w:rtl w:val="0"/>
        </w:rPr>
        <w:t xml:space="preserve">FRAUDFINDER LTD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bottom w:color="1f2a44" w:space="6" w:sz="12" w:val="single"/>
        </w:pBdr>
        <w:spacing w:after="260" w:lineRule="auto"/>
        <w:rPr/>
      </w:pPr>
      <w:r w:rsidDel="00000000" w:rsidR="00000000" w:rsidRPr="00000000">
        <w:rPr>
          <w:color w:val="555555"/>
          <w:sz w:val="20"/>
          <w:szCs w:val="20"/>
          <w:rtl w:val="0"/>
        </w:rPr>
        <w:t xml:space="preserve">AI document fraud detection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120" w:lineRule="auto"/>
        <w:rPr/>
      </w:pPr>
      <w:r w:rsidDel="00000000" w:rsidR="00000000" w:rsidRPr="00000000">
        <w:rPr>
          <w:b w:val="1"/>
          <w:bCs w:val="1"/>
          <w:color w:val="1f2a44"/>
          <w:sz w:val="44"/>
          <w:szCs w:val="44"/>
          <w:rtl w:val="0"/>
        </w:rPr>
        <w:t xml:space="preserve">Security Questionnaire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00" w:lineRule="auto"/>
        <w:rPr/>
      </w:pPr>
      <w:r w:rsidDel="00000000" w:rsidR="00000000" w:rsidRPr="00000000">
        <w:rPr>
          <w:color w:val="555555"/>
          <w:sz w:val="24"/>
          <w:szCs w:val="24"/>
          <w:rtl w:val="0"/>
        </w:rPr>
        <w:t xml:space="preserve">Standardized Information Gathering (SIG) – aligned response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r w:rsidDel="00000000" w:rsidR="00000000" w:rsidRPr="00000000">
        <w:rPr>
          <w:rtl w:val="0"/>
        </w:rPr>
        <w:t xml:space="preserve">Company &amp; Service Profile</w:t>
      </w:r>
    </w:p>
    <w:tbl>
      <w:tblPr>
        <w:tblStyle w:val="Table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0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Field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0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0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Legal entity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Fraudfinder Ltd (company no. 10531940)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0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Registered office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0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71–75 Shelton Street, Covent Garden, London, WC2H 9JQ, United Kingdom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0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AI-powered document fraud detection and data extraction on financial documents (bank statements, payslips), proof-of-address and identity documents, supplied to lenders, insurers, property and gaming customers via API and web portal.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0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Prepared for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0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Moneybox (existing customer) – compliance due diligence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16 June 2026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Accountable executive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Alexander Siedes, CEO – alexander@fraudfinderai.com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4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Technical owner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Andrew Kenyon, Head of Technology – andrew@fraudfinderai.com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Security contact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security@fraudfinderai.com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Framework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Cyber Essentials certified; ISO 27001-aligned ISMS; NIST CSF 2.0 mapped; UK GDPR / DPA 2018</w:t>
            </w:r>
          </w:p>
        </w:tc>
      </w:tr>
    </w:tbl>
    <w:p w:rsidR="00000000" w:rsidDel="00000000" w:rsidP="00000000" w:rsidRDefault="00000000" w:rsidRPr="00000000" w14:paraId="0000001A">
      <w:pPr>
        <w:spacing w:after="10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About this response. </w:t>
      </w:r>
      <w:r w:rsidDel="00000000" w:rsidR="00000000" w:rsidRPr="00000000">
        <w:rPr>
          <w:rtl w:val="0"/>
        </w:rPr>
        <w:t xml:space="preserve">This is a SIG-aligned security questionnaire response, organised into standard SIG control domains. Each control shows a status and supporting detail. Independent evidence (policies, penetration test report, Cyber Essentials certificate, cyber insurance certificate, sub-processor list) is available on request under NDA.</w:t>
      </w:r>
    </w:p>
    <w:tbl>
      <w:tblPr>
        <w:tblStyle w:val="Table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6960"/>
        <w:tblGridChange w:id="0">
          <w:tblGrid>
            <w:gridCol w:w="2400"/>
            <w:gridCol w:w="69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B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Meaning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Control fully in place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1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Yes (maturing)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 place and operating; further automation or formalisation underway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Partial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Partially in place; roadmap item to complete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Not applicable / no occurrences (favourable)</w:t>
            </w:r>
          </w:p>
        </w:tc>
      </w:tr>
    </w:tbl>
    <w:p w:rsidR="00000000" w:rsidDel="00000000" w:rsidP="00000000" w:rsidRDefault="00000000" w:rsidRPr="00000000" w14:paraId="00000025">
      <w:pPr>
        <w:pStyle w:val="Heading2"/>
        <w:rPr/>
      </w:pPr>
      <w:r w:rsidDel="00000000" w:rsidR="00000000" w:rsidRPr="00000000">
        <w:rPr>
          <w:rtl w:val="0"/>
        </w:rPr>
        <w:t xml:space="preserve">1. Information Security Governance</w:t>
      </w:r>
    </w:p>
    <w:tbl>
      <w:tblPr>
        <w:tblStyle w:val="Table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"/>
        <w:gridCol w:w="3340"/>
        <w:gridCol w:w="1340"/>
        <w:gridCol w:w="3860"/>
        <w:tblGridChange w:id="0">
          <w:tblGrid>
            <w:gridCol w:w="820"/>
            <w:gridCol w:w="3340"/>
            <w:gridCol w:w="1340"/>
            <w:gridCol w:w="3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9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External validation against recognised security controls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Cyber Essentials certified under the Willow scheme on 29 April 2026 (cert. 5ac95127-bb4b-4492-8788-cc0b65d30b18, verifiable at registry.blockmarktech.com). ISMS aligned to ISO 27001 and mapped to NIST CSF 2.0; SOC 2 Type II is the planned next step.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2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Cyber security roles and accountabilities defined and assigned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Documented in the Information Security Policy. CEO is accountable executive; Head of Technology owns technical security.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Senior executive accountable for the security framework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The CEO is the named senior executive accountable for delivery of the cyber security framework.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Documented framework aligned to industry standards, approved and reviewed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Framework documented and aligned to ISO 27001, mapped to NIST CSF 2.0, with CIS Controls and OWASP ASVS for technical hardening and secure development. Reviewed at least annually.</w:t>
            </w:r>
          </w:p>
        </w:tc>
      </w:tr>
    </w:tbl>
    <w:p w:rsidR="00000000" w:rsidDel="00000000" w:rsidP="00000000" w:rsidRDefault="00000000" w:rsidRPr="00000000" w14:paraId="0000003A">
      <w:pPr>
        <w:pStyle w:val="Heading2"/>
        <w:rPr/>
      </w:pPr>
      <w:r w:rsidDel="00000000" w:rsidR="00000000" w:rsidRPr="00000000">
        <w:rPr>
          <w:rtl w:val="0"/>
        </w:rPr>
        <w:t xml:space="preserve">2. Risk Management &amp; Third-Party Risk</w:t>
      </w:r>
    </w:p>
    <w:tbl>
      <w:tblPr>
        <w:tblStyle w:val="Table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"/>
        <w:gridCol w:w="3340"/>
        <w:gridCol w:w="1340"/>
        <w:gridCol w:w="3860"/>
        <w:tblGridChange w:id="0">
          <w:tblGrid>
            <w:gridCol w:w="820"/>
            <w:gridCol w:w="3340"/>
            <w:gridCol w:w="1340"/>
            <w:gridCol w:w="3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B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3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Cyber and information security insurance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Cyber insurance GBP 1m in force; Professional Indemnity GBP 2m; Employers' Liability GBP 5m, plus the Cyber Essentials cyber insurance. Cover is upsized in advance where contract value warrants.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Cyber risks managed within an enterprise risk framework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Enterprise risk register with owners and likelihood/impact scoring, reassessed quarterly against risk appetite.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Process to assess security capability of third-party providers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Onboarding due diligence and periodic re-reviews for all critical sub-processors; findings logged; DPAs and SCCs in place.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B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Understanding of third parties, criticality and capability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Sub-processor register maintained; new or changed sub-processors approved centrally before use; critical providers reviewed at set intervals.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4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Proportionate controls for third parties with ongoing access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Third-party access controlled via DPAs, NDAs, vetting, least-privilege access and enforced MFA, with periodic due-diligence reviews.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Critical sub-contractors assessed and documented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Sub-processor list (AWS, Google Cloud, OpenAI, SendGrid, Sentry, Pulsedive, Twilio, Netlify, Google Workspace) maintained with function, location and criticality; resilience impact assessed.</w:t>
            </w:r>
          </w:p>
        </w:tc>
      </w:tr>
    </w:tbl>
    <w:p w:rsidR="00000000" w:rsidDel="00000000" w:rsidP="00000000" w:rsidRDefault="00000000" w:rsidRPr="00000000" w14:paraId="00000057">
      <w:pPr>
        <w:pStyle w:val="Heading2"/>
        <w:rPr/>
      </w:pPr>
      <w:r w:rsidDel="00000000" w:rsidR="00000000" w:rsidRPr="00000000">
        <w:rPr>
          <w:rtl w:val="0"/>
        </w:rPr>
        <w:t xml:space="preserve">3. Identity &amp; Access Management</w:t>
      </w:r>
    </w:p>
    <w:tbl>
      <w:tblPr>
        <w:tblStyle w:val="Table5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"/>
        <w:gridCol w:w="3340"/>
        <w:gridCol w:w="1340"/>
        <w:gridCol w:w="3860"/>
        <w:tblGridChange w:id="0">
          <w:tblGrid>
            <w:gridCol w:w="820"/>
            <w:gridCol w:w="3340"/>
            <w:gridCol w:w="1340"/>
            <w:gridCol w:w="3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9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B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IAM1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MFA enforced for all external remote access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5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MFA strictly enforced for all remote access to production, admin consoles (AWS, Google Cloud, Google Workspace), source control, CI/CD and the secrets manager, via the identity provider.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IAM2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Privileged rights documented and reviewed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Privileged rights documented centrally; reviewed quarterly and at joiner-mover-leaver events. Moving to continuous automated review.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IAM3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MFA for internal users, admins and high-risk operations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MFA enforced for all administrators and production access; step-up authentication required for privileged and high-risk operations such as data export.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IAM4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Admin accounts use SSO; no standing local admin passwords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Most administrative access uses SSO (Google Workspace IdP via SAML/OIDC into AWS IAM Identity Center). No standing local admin passwords; break-glass credentials held in the secrets manager.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IAM5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Offboarding within 24 hours with revocation of users, tokens and keys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6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Documented joiner-mover-leaver process completes within 24 hours; revocation part-automated via the IdP with manual steps for service accounts and API keys, evidenced in logs.</w:t>
            </w:r>
          </w:p>
        </w:tc>
      </w:tr>
    </w:tbl>
    <w:p w:rsidR="00000000" w:rsidDel="00000000" w:rsidP="00000000" w:rsidRDefault="00000000" w:rsidRPr="00000000" w14:paraId="00000070">
      <w:pPr>
        <w:pStyle w:val="Heading2"/>
        <w:rPr/>
      </w:pPr>
      <w:r w:rsidDel="00000000" w:rsidR="00000000" w:rsidRPr="00000000">
        <w:rPr>
          <w:rtl w:val="0"/>
        </w:rPr>
        <w:t xml:space="preserve">4. Asset &amp; Endpoint Security</w:t>
      </w:r>
    </w:p>
    <w:tbl>
      <w:tblPr>
        <w:tblStyle w:val="Table6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"/>
        <w:gridCol w:w="3340"/>
        <w:gridCol w:w="1340"/>
        <w:gridCol w:w="3860"/>
        <w:tblGridChange w:id="0">
          <w:tblGrid>
            <w:gridCol w:w="820"/>
            <w:gridCol w:w="3340"/>
            <w:gridCol w:w="1340"/>
            <w:gridCol w:w="3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4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5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End-of-life hardware and software identified and managed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Asset inventory maintained with end-of-life tracking; risk-based replacement; no unsupported software in production.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Full disk encryption on laptops and portable devices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FileVault enforced on all macOS endpoints (MDM-managed via Jamf). Device compliance checked before production access. No BYOD permitted.</w:t>
            </w:r>
          </w:p>
        </w:tc>
      </w:tr>
    </w:tbl>
    <w:p w:rsidR="00000000" w:rsidDel="00000000" w:rsidP="00000000" w:rsidRDefault="00000000" w:rsidRPr="00000000" w14:paraId="0000007D">
      <w:pPr>
        <w:pStyle w:val="Heading2"/>
        <w:rPr/>
      </w:pPr>
      <w:r w:rsidDel="00000000" w:rsidR="00000000" w:rsidRPr="00000000">
        <w:rPr>
          <w:rtl w:val="0"/>
        </w:rPr>
        <w:t xml:space="preserve">5. Data Management &amp; Encryption</w:t>
      </w:r>
    </w:p>
    <w:tbl>
      <w:tblPr>
        <w:tblStyle w:val="Table7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"/>
        <w:gridCol w:w="3340"/>
        <w:gridCol w:w="1340"/>
        <w:gridCol w:w="3860"/>
        <w:tblGridChange w:id="0">
          <w:tblGrid>
            <w:gridCol w:w="820"/>
            <w:gridCol w:w="3340"/>
            <w:gridCol w:w="1340"/>
            <w:gridCol w:w="3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7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Classification of data by criticality and sensitivity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Information classification scheme (Public / Internal / Confidential / Restricted incl. PII) defined in policy and applied to data sets.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Backup process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All data and configuration backed up and encrypted (AES-256 / AWS KMS); RDS point-in-time recovery, S3 versioning and infrastructure-as-code in version control; backups held in separate AWS accounts/regions.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Encryption in transit and at rest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TLS 1.2/1.3 in transit; AES-256 via AWS KMS at rest. Payment-related data encrypted in transit and at rest and used solely for real-time fraud assessment.</w:t>
            </w:r>
          </w:p>
        </w:tc>
      </w:tr>
    </w:tbl>
    <w:p w:rsidR="00000000" w:rsidDel="00000000" w:rsidP="00000000" w:rsidRDefault="00000000" w:rsidRPr="00000000" w14:paraId="0000008E">
      <w:pPr>
        <w:pStyle w:val="Heading2"/>
        <w:rPr/>
      </w:pPr>
      <w:r w:rsidDel="00000000" w:rsidR="00000000" w:rsidRPr="00000000">
        <w:rPr>
          <w:rtl w:val="0"/>
        </w:rPr>
        <w:t xml:space="preserve">6. Vulnerability &amp; Penetration Testing</w:t>
      </w:r>
    </w:p>
    <w:tbl>
      <w:tblPr>
        <w:tblStyle w:val="Table8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"/>
        <w:gridCol w:w="3340"/>
        <w:gridCol w:w="1340"/>
        <w:gridCol w:w="3860"/>
        <w:tblGridChange w:id="0">
          <w:tblGrid>
            <w:gridCol w:w="820"/>
            <w:gridCol w:w="3340"/>
            <w:gridCol w:w="1340"/>
            <w:gridCol w:w="3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8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Vulnerabilities proactively identified and risk assessed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Continuous detection: automated dependency and container scanning on CI, AWS Inspector and Security Hub, and regular external scanning. Findings triaged and risk-assessed.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Security testing programme in place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Annual independent third-party penetration testing plus continuous scanning. Most recent report reference R1-PT85118-3868 (2026). Findings tracked to closure.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B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Baseline security configuration and hardening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9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Baselines enforced via infrastructure-as-code (Terraform) and hardened AMIs; AWS Config and Security Hub monitor drift against CIS/AWS benchmarks.</w:t>
            </w:r>
          </w:p>
        </w:tc>
      </w:tr>
    </w:tbl>
    <w:p w:rsidR="00000000" w:rsidDel="00000000" w:rsidP="00000000" w:rsidRDefault="00000000" w:rsidRPr="00000000" w14:paraId="0000009F">
      <w:pPr>
        <w:pStyle w:val="Heading2"/>
        <w:rPr/>
      </w:pPr>
      <w:r w:rsidDel="00000000" w:rsidR="00000000" w:rsidRPr="00000000">
        <w:rPr>
          <w:rtl w:val="0"/>
        </w:rPr>
        <w:t xml:space="preserve">7. Secure Development &amp; Application Security</w:t>
      </w:r>
    </w:p>
    <w:tbl>
      <w:tblPr>
        <w:tblStyle w:val="Table9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"/>
        <w:gridCol w:w="3340"/>
        <w:gridCol w:w="1340"/>
        <w:gridCol w:w="3860"/>
        <w:tblGridChange w:id="0">
          <w:tblGrid>
            <w:gridCol w:w="820"/>
            <w:gridCol w:w="3340"/>
            <w:gridCol w:w="1340"/>
            <w:gridCol w:w="3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4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Security embedded in change, design and SDLC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Peer review, gated CI/CD, formal change control, threat modelling for new features and security review before release; infrastructure defined as code.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Secure software development lifecycle (DevSecOps)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Peer review, SAST and SCA/dependency scanning on CI, container and secrets scanning, DAST on staging before release; security requirements captured at design.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Session management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A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Session tokens rotated on authentication and privilege change, invalidated on logout and password reset; server-side revocation supported.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CSRF protection and SameSite cookies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Anti-CSRF tokens on state-changing requests; SameSite cookies; origin/referrer checks on sensitive endpoints.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4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Server-side authorisation, deny-by-default, no IDOR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Object and function-level authorisation enforced server-side with deny-by-default; tenant scoping at the data layer prevents cross-tenant access; tested in CI.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API tokens scoped with least privilege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API tokens carry minimal default rights (submit document / fetch result); per-endpoint and resource-level grants available for enterprise customers.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API tokens short-lived with rotation and revocation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B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Tokens have bounded lifetimes with scheduled rotation and revocation; short-lived JWTs with refresh flow for browser sessions.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Security headers and restrictive CSP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HSTS, X-Content-Type-Options, frame-ancestors and Referrer-Policy set on customer-facing properties; allow-list CSP.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4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Secure upload handling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MIME/type allow-list, size limits, malware scanning on ingestion, image re-encoding, and storage in private S3 buckets outside any web root.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Secrets managed centrally and rotated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AWS Secrets Manager used centrally; no secrets in code (enforced by pre-commit and CI scanning); documented rotation.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Input sanitisation; no injection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Parameterised queries throughout the data layer, allow-list input validation on sensitive paths, and WAF monitoring for injection patterns.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AS12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Public vulnerability disclosure programme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Partial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Security contact published (security@fraudfinderai.com). A formal public disclosure programme and security.txt are on the 2026 roadmap.</w:t>
            </w:r>
          </w:p>
        </w:tc>
      </w:tr>
    </w:tbl>
    <w:p w:rsidR="00000000" w:rsidDel="00000000" w:rsidP="00000000" w:rsidRDefault="00000000" w:rsidRPr="00000000" w14:paraId="000000D4">
      <w:pPr>
        <w:pStyle w:val="Heading2"/>
        <w:rPr/>
      </w:pPr>
      <w:r w:rsidDel="00000000" w:rsidR="00000000" w:rsidRPr="00000000">
        <w:rPr>
          <w:rtl w:val="0"/>
        </w:rPr>
        <w:t xml:space="preserve">8. Network &amp; Infrastructure Security</w:t>
      </w:r>
    </w:p>
    <w:tbl>
      <w:tblPr>
        <w:tblStyle w:val="Table10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"/>
        <w:gridCol w:w="3340"/>
        <w:gridCol w:w="1340"/>
        <w:gridCol w:w="3860"/>
        <w:tblGridChange w:id="0">
          <w:tblGrid>
            <w:gridCol w:w="820"/>
            <w:gridCol w:w="3340"/>
            <w:gridCol w:w="1340"/>
            <w:gridCol w:w="3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5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Defence-in-depth / multiple layers of security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VPC segregation, security-group allow-listing, WAF, DDoS protection (Cloudflare / AWS Shield), GuardDuty, CloudTrail, container isolation, secrets manager and network ACLs.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TLS, weak ciphers disabled, HSTS enabled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D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TLS 1.2/1.3 enforced end-to-end, weak ciphers disabled, HSTS on customer-facing hostnames; certificate lifecycle managed via AWS ACM / Cloudflare.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Identity provider integration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Product supports SSO via SAML 2.0 and OIDC with Microsoft Entra ID, Google Workspace, Okta and other major IdPs, configurable per tenant.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5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Hosting and data residency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Hosted in AWS eu-west-1 (Ireland) within a private VPC and GCP europe-west4 (Netherlands). UK/EEA data residency.</w:t>
            </w:r>
          </w:p>
        </w:tc>
      </w:tr>
    </w:tbl>
    <w:p w:rsidR="00000000" w:rsidDel="00000000" w:rsidP="00000000" w:rsidRDefault="00000000" w:rsidRPr="00000000" w14:paraId="000000E9">
      <w:pPr>
        <w:pStyle w:val="Heading2"/>
        <w:rPr/>
      </w:pPr>
      <w:r w:rsidDel="00000000" w:rsidR="00000000" w:rsidRPr="00000000">
        <w:rPr>
          <w:rtl w:val="0"/>
        </w:rPr>
        <w:t xml:space="preserve">9. Logging &amp; Monitoring</w:t>
      </w:r>
    </w:p>
    <w:tbl>
      <w:tblPr>
        <w:tblStyle w:val="Table11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"/>
        <w:gridCol w:w="3340"/>
        <w:gridCol w:w="1340"/>
        <w:gridCol w:w="3860"/>
        <w:tblGridChange w:id="0">
          <w:tblGrid>
            <w:gridCol w:w="820"/>
            <w:gridCol w:w="3340"/>
            <w:gridCol w:w="1340"/>
            <w:gridCol w:w="3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B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E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Monitor for and detect anomalous activity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Near real-time monitoring via AWS GuardDuty, CloudWatch, VPC Flow Logs, CloudTrail, Inspector, Security Hub and Detective; alerts triaged via an on-call rota.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Threat intelligence informs strategy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Partial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Vendor advisories, NCSC and sector fraud intelligence and dependency feeds inform patching and risk; not yet a formalised programme.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Administrative and configuration events logged and retained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CloudTrail, application admin audit and CI/CD events exported to central logging; core logs retained 12 months with integrity protection.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A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Access to PII logged and protected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PII access events logged with field-level redaction, exported centrally and access-controlled; 12-month retention.</w:t>
            </w:r>
          </w:p>
        </w:tc>
      </w:tr>
    </w:tbl>
    <w:p w:rsidR="00000000" w:rsidDel="00000000" w:rsidP="00000000" w:rsidRDefault="00000000" w:rsidRPr="00000000" w14:paraId="000000FE">
      <w:pPr>
        <w:pStyle w:val="Heading2"/>
        <w:rPr/>
      </w:pPr>
      <w:r w:rsidDel="00000000" w:rsidR="00000000" w:rsidRPr="00000000">
        <w:rPr>
          <w:rtl w:val="0"/>
        </w:rPr>
        <w:t xml:space="preserve">10. Human Resources Security</w:t>
      </w:r>
    </w:p>
    <w:tbl>
      <w:tblPr>
        <w:tblStyle w:val="Table12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"/>
        <w:gridCol w:w="3340"/>
        <w:gridCol w:w="1340"/>
        <w:gridCol w:w="3860"/>
        <w:tblGridChange w:id="0">
          <w:tblGrid>
            <w:gridCol w:w="820"/>
            <w:gridCol w:w="3340"/>
            <w:gridCol w:w="1340"/>
            <w:gridCol w:w="3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0F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2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3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Security and data protection training for staff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Mandatory training at onboarding and annually; phishing simulations run; completion tracked.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H2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Screening / background checks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Partial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Right-to-work, reference and (where role/data sensitivity requires) criminal-record checks on new hires; re-screening at role change for privileged roles.</w:t>
            </w:r>
          </w:p>
        </w:tc>
      </w:tr>
    </w:tbl>
    <w:p w:rsidR="00000000" w:rsidDel="00000000" w:rsidP="00000000" w:rsidRDefault="00000000" w:rsidRPr="00000000" w14:paraId="0000010B">
      <w:pPr>
        <w:pStyle w:val="Heading2"/>
        <w:rPr/>
      </w:pPr>
      <w:r w:rsidDel="00000000" w:rsidR="00000000" w:rsidRPr="00000000">
        <w:rPr>
          <w:rtl w:val="0"/>
        </w:rPr>
        <w:t xml:space="preserve">11. Physical &amp; Environmental Security</w:t>
      </w:r>
    </w:p>
    <w:tbl>
      <w:tblPr>
        <w:tblStyle w:val="Table13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"/>
        <w:gridCol w:w="3340"/>
        <w:gridCol w:w="1340"/>
        <w:gridCol w:w="3860"/>
        <w:tblGridChange w:id="0">
          <w:tblGrid>
            <w:gridCol w:w="820"/>
            <w:gridCol w:w="3340"/>
            <w:gridCol w:w="1340"/>
            <w:gridCol w:w="3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C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E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0F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0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Physical access controls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Landmark-managed serviced office (Central London) with staffed reception, access passes, CCTV and visitor sign-in. Remote workers follow a Remote Working Policy (clear desk/screen, encrypted devices).</w:t>
            </w:r>
          </w:p>
        </w:tc>
      </w:tr>
    </w:tbl>
    <w:p w:rsidR="00000000" w:rsidDel="00000000" w:rsidP="00000000" w:rsidRDefault="00000000" w:rsidRPr="00000000" w14:paraId="00000114">
      <w:pPr>
        <w:pStyle w:val="Heading2"/>
        <w:rPr/>
      </w:pPr>
      <w:r w:rsidDel="00000000" w:rsidR="00000000" w:rsidRPr="00000000">
        <w:rPr>
          <w:rtl w:val="0"/>
        </w:rPr>
        <w:t xml:space="preserve">12. Incident Management &amp; Resilience</w:t>
      </w:r>
    </w:p>
    <w:tbl>
      <w:tblPr>
        <w:tblStyle w:val="Table14"/>
        <w:tblW w:w="93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20"/>
        <w:gridCol w:w="3340"/>
        <w:gridCol w:w="1340"/>
        <w:gridCol w:w="3860"/>
        <w:tblGridChange w:id="0">
          <w:tblGrid>
            <w:gridCol w:w="820"/>
            <w:gridCol w:w="3340"/>
            <w:gridCol w:w="1340"/>
            <w:gridCol w:w="38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5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6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Control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7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Status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2e75b6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8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Detail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9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IR1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Incident response includes regulator and stakeholder notification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Defined thresholds for notifying the ICO within 72h (UK GDPR Art. 33 where applicable) and customers (Sev 1 within 4h of confirmation).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D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IR2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Maximum timeframe to notify customers of an incident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1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0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Default commitment: customer notification within 72 hours of confirming an incident; operational target Sev 1 within 4 hours.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1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IR3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Tabletop exercises across teams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3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4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Annual tabletop exercises with Technology, Operations and Exec; outputs feed plan updates. Moving to a 6-monthly cadence.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5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IR4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Ability to recover systems and data (BCP/DR)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7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Yes (maturing)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fffff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Documented BCP/DR plan with RTO 4h, RPO 1h; tested periodically with restore validation; recovered-system integrity validated.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9">
            <w:pPr>
              <w:spacing w:after="0" w:lineRule="auto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IR5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Material security or data-loss incidents in last 12 months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None</w:t>
            </w:r>
          </w:p>
        </w:tc>
        <w:tc>
          <w:tcPr>
            <w:tcBorders>
              <w:top w:color="c9d3e0" w:space="0" w:sz="4" w:val="single"/>
              <w:left w:color="c9d3e0" w:space="0" w:sz="4" w:val="single"/>
              <w:bottom w:color="c9d3e0" w:space="0" w:sz="4" w:val="single"/>
              <w:right w:color="c9d3e0" w:space="0" w:sz="4" w:val="single"/>
            </w:tcBorders>
            <w:shd w:fill="f4f8fc" w:val="clear"/>
            <w:tcMar>
              <w:top w:w="70.0" w:type="dxa"/>
              <w:left w:w="110.0" w:type="dxa"/>
              <w:bottom w:w="70.0" w:type="dxa"/>
              <w:right w:w="110.0" w:type="dxa"/>
            </w:tcMar>
          </w:tcPr>
          <w:p w:rsidR="00000000" w:rsidDel="00000000" w:rsidP="00000000" w:rsidRDefault="00000000" w:rsidRPr="00000000" w14:paraId="000001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No material security or data-loss incidents in the last 12 months. Fraudfinder is not part of a wider group.</w:t>
            </w:r>
          </w:p>
        </w:tc>
      </w:tr>
    </w:tbl>
    <w:p w:rsidR="00000000" w:rsidDel="00000000" w:rsidP="00000000" w:rsidRDefault="00000000" w:rsidRPr="00000000" w14:paraId="0000012D">
      <w:pPr>
        <w:pStyle w:val="Heading2"/>
        <w:rPr/>
      </w:pPr>
      <w:r w:rsidDel="00000000" w:rsidR="00000000" w:rsidRPr="00000000">
        <w:rPr>
          <w:rtl w:val="0"/>
        </w:rPr>
        <w:t xml:space="preserve">Declaration</w:t>
      </w:r>
    </w:p>
    <w:p w:rsidR="00000000" w:rsidDel="00000000" w:rsidP="00000000" w:rsidRDefault="00000000" w:rsidRPr="00000000" w14:paraId="0000012E">
      <w:pPr>
        <w:spacing w:after="120" w:lineRule="auto"/>
        <w:rPr/>
      </w:pPr>
      <w:r w:rsidDel="00000000" w:rsidR="00000000" w:rsidRPr="00000000">
        <w:rPr>
          <w:rtl w:val="0"/>
        </w:rPr>
        <w:t xml:space="preserve">The information above reflects Fraudfinder Ltd's security posture as at 16 June 2026 and is provided in good faith for Moneybox's compliance due diligence. Supporting evidence is available on request.</w:t>
      </w:r>
    </w:p>
    <w:p w:rsidR="00000000" w:rsidDel="00000000" w:rsidP="00000000" w:rsidRDefault="00000000" w:rsidRPr="00000000" w14:paraId="0000012F">
      <w:pPr>
        <w:spacing w:after="12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Alexander Siedes</w:t>
      </w:r>
      <w:r w:rsidDel="00000000" w:rsidR="00000000" w:rsidRPr="00000000">
        <w:rPr>
          <w:rtl w:val="0"/>
        </w:rPr>
        <w:t xml:space="preserve">, CEO, Fraudfinder Ltd — alexander@fraudfinderai.com</w:t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1">
    <w:pPr>
      <w:pBdr>
        <w:top w:color="c9d3e0" w:space="3" w:sz="4" w:val="single"/>
      </w:pBdr>
      <w:tabs>
        <w:tab w:val="right" w:leader="none" w:pos="9360"/>
      </w:tabs>
      <w:rPr/>
    </w:pPr>
    <w:r w:rsidDel="00000000" w:rsidR="00000000" w:rsidRPr="00000000">
      <w:rPr>
        <w:color w:val="555555"/>
        <w:sz w:val="16"/>
        <w:szCs w:val="16"/>
        <w:rtl w:val="0"/>
      </w:rPr>
      <w:t xml:space="preserve">Confidential – prepared for MoneyboxPage </w:t>
    </w:r>
    <w:r w:rsidDel="00000000" w:rsidR="00000000" w:rsidRPr="00000000">
      <w:rPr>
        <w:color w:val="555555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0">
    <w:pPr>
      <w:pBdr>
        <w:bottom w:color="c9d3e0" w:space="3" w:sz="4" w:val="single"/>
      </w:pBdr>
      <w:tabs>
        <w:tab w:val="right" w:leader="none" w:pos="9360"/>
      </w:tabs>
      <w:rPr/>
    </w:pPr>
    <w:r w:rsidDel="00000000" w:rsidR="00000000" w:rsidRPr="00000000">
      <w:rPr>
        <w:b w:val="1"/>
        <w:bCs w:val="1"/>
        <w:color w:val="1f2a44"/>
        <w:sz w:val="18"/>
        <w:szCs w:val="18"/>
        <w:rtl w:val="0"/>
      </w:rPr>
      <w:t xml:space="preserve">Fraudfinder Ltd</w:t>
    </w:r>
    <w:r w:rsidDel="00000000" w:rsidR="00000000" w:rsidRPr="00000000">
      <w:rPr>
        <w:color w:val="555555"/>
        <w:sz w:val="18"/>
        <w:szCs w:val="18"/>
        <w:rtl w:val="0"/>
      </w:rPr>
      <w:t xml:space="preserve">SIG Security Questionnaire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2222"/>
        <w:sz w:val="21"/>
        <w:szCs w:val="21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2e75b6" w:space="4" w:sz="6" w:val="single"/>
        <w:right w:space="0" w:sz="0" w:val="nil"/>
        <w:between w:space="0" w:sz="0" w:val="nil"/>
      </w:pBdr>
      <w:shd w:fill="auto" w:val="clear"/>
      <w:spacing w:after="140" w:before="3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1f2a44"/>
      <w:sz w:val="30"/>
      <w:szCs w:val="3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0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2e75b6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1"/>
      <w:szCs w:val="21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1"/>
      <w:szCs w:val="21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1"/>
      <w:szCs w:val="21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22222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