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00" w:lineRule="auto"/>
        <w:rPr/>
      </w:pPr>
      <w:r w:rsidDel="00000000" w:rsidR="00000000" w:rsidRPr="00000000">
        <w:rPr>
          <w:b w:val="1"/>
          <w:bCs w:val="1"/>
          <w:color w:val="2e75b6"/>
          <w:sz w:val="30"/>
          <w:szCs w:val="30"/>
          <w:rtl w:val="0"/>
        </w:rPr>
        <w:t xml:space="preserve">FRAUDFINDER LTD</w:t>
      </w:r>
      <w:r w:rsidDel="00000000" w:rsidR="00000000" w:rsidRPr="00000000">
        <w:rPr>
          <w:rtl w:val="0"/>
        </w:rPr>
      </w:r>
    </w:p>
    <w:p w:rsidR="00000000" w:rsidDel="00000000" w:rsidP="00000000" w:rsidRDefault="00000000" w:rsidRPr="00000000" w14:paraId="00000002">
      <w:pPr>
        <w:pBdr>
          <w:bottom w:color="1f2a44" w:space="6" w:sz="12" w:val="single"/>
        </w:pBdr>
        <w:spacing w:after="260" w:lineRule="auto"/>
        <w:rPr/>
      </w:pPr>
      <w:r w:rsidDel="00000000" w:rsidR="00000000" w:rsidRPr="00000000">
        <w:rPr>
          <w:color w:val="555555"/>
          <w:sz w:val="20"/>
          <w:szCs w:val="20"/>
          <w:rtl w:val="0"/>
        </w:rPr>
        <w:t xml:space="preserve">AI document fraud detection</w:t>
      </w:r>
      <w:r w:rsidDel="00000000" w:rsidR="00000000" w:rsidRPr="00000000">
        <w:rPr>
          <w:rtl w:val="0"/>
        </w:rPr>
      </w:r>
    </w:p>
    <w:p w:rsidR="00000000" w:rsidDel="00000000" w:rsidP="00000000" w:rsidRDefault="00000000" w:rsidRPr="00000000" w14:paraId="00000003">
      <w:pPr>
        <w:spacing w:after="60" w:before="120" w:lineRule="auto"/>
        <w:rPr/>
      </w:pPr>
      <w:r w:rsidDel="00000000" w:rsidR="00000000" w:rsidRPr="00000000">
        <w:rPr>
          <w:b w:val="1"/>
          <w:bCs w:val="1"/>
          <w:color w:val="1f2a44"/>
          <w:sz w:val="44"/>
          <w:szCs w:val="44"/>
          <w:rtl w:val="0"/>
        </w:rPr>
        <w:t xml:space="preserve">UK GDPR Compliance Statement</w:t>
      </w:r>
      <w:r w:rsidDel="00000000" w:rsidR="00000000" w:rsidRPr="00000000">
        <w:rPr>
          <w:rtl w:val="0"/>
        </w:rPr>
      </w:r>
    </w:p>
    <w:p w:rsidR="00000000" w:rsidDel="00000000" w:rsidP="00000000" w:rsidRDefault="00000000" w:rsidRPr="00000000" w14:paraId="00000004">
      <w:pPr>
        <w:spacing w:after="300" w:lineRule="auto"/>
        <w:rPr/>
      </w:pPr>
      <w:r w:rsidDel="00000000" w:rsidR="00000000" w:rsidRPr="00000000">
        <w:rPr>
          <w:color w:val="555555"/>
          <w:sz w:val="24"/>
          <w:szCs w:val="24"/>
          <w:rtl w:val="0"/>
        </w:rPr>
        <w:t xml:space="preserve">Data protection compliance overview</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1. Purpose &amp; scope</w:t>
      </w:r>
    </w:p>
    <w:p w:rsidR="00000000" w:rsidDel="00000000" w:rsidP="00000000" w:rsidRDefault="00000000" w:rsidRPr="00000000" w14:paraId="00000006">
      <w:pPr>
        <w:spacing w:after="120" w:lineRule="auto"/>
        <w:rPr/>
      </w:pPr>
      <w:r w:rsidDel="00000000" w:rsidR="00000000" w:rsidRPr="00000000">
        <w:rPr>
          <w:rtl w:val="0"/>
        </w:rPr>
        <w:t xml:space="preserve">This statement summarises how Fraudfinder Ltd complies with the UK General Data Protection Regulation (UK GDPR) and the Data Protection Act 2018 in delivering its document fraud detection service. It supports Moneybox's compliance due diligence and complements, but does not replace, the executed Data Processing Agreement (DPA) between the parties.</w:t>
      </w:r>
    </w:p>
    <w:p w:rsidR="00000000" w:rsidDel="00000000" w:rsidP="00000000" w:rsidRDefault="00000000" w:rsidRPr="00000000" w14:paraId="00000007">
      <w:pPr>
        <w:pStyle w:val="Heading1"/>
        <w:rPr/>
      </w:pPr>
      <w:r w:rsidDel="00000000" w:rsidR="00000000" w:rsidRPr="00000000">
        <w:rPr>
          <w:rtl w:val="0"/>
        </w:rPr>
        <w:t xml:space="preserve">2. Roles &amp; responsibilities</w:t>
      </w:r>
    </w:p>
    <w:p w:rsidR="00000000" w:rsidDel="00000000" w:rsidP="00000000" w:rsidRDefault="00000000" w:rsidRPr="00000000" w14:paraId="00000008">
      <w:pPr>
        <w:spacing w:after="120" w:lineRule="auto"/>
        <w:rPr/>
      </w:pPr>
      <w:r w:rsidDel="00000000" w:rsidR="00000000" w:rsidRPr="00000000">
        <w:rPr>
          <w:rtl w:val="0"/>
        </w:rPr>
        <w:t xml:space="preserve">In the provision of the service, Fraudfinder acts as a data processor and the customer (Moneybox) acts as data controller. Fraudfinder processes personal data only on the documented instructions of the controller, solely to provide fraud detection, and not for its own purposes (including model training or product improvement) save as permitted by the DPA.</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6660"/>
        <w:tblGridChange w:id="0">
          <w:tblGrid>
            <w:gridCol w:w="2700"/>
            <w:gridCol w:w="6660"/>
          </w:tblGrid>
        </w:tblGridChange>
      </w:tblGrid>
      <w:tr>
        <w:trPr>
          <w:cantSplit w:val="0"/>
          <w:tblHeader w:val="0"/>
        </w:trPr>
        <w:tc>
          <w:tcPr>
            <w:tcBorders>
              <w:top w:color="c9d3e0" w:space="0" w:sz="4" w:val="single"/>
              <w:left w:color="c9d3e0" w:space="0" w:sz="4" w:val="single"/>
              <w:bottom w:color="c9d3e0" w:space="0" w:sz="4" w:val="single"/>
              <w:right w:color="c9d3e0" w:space="0" w:sz="4" w:val="single"/>
            </w:tcBorders>
            <w:shd w:fill="2e75b6" w:val="clear"/>
            <w:tcMar>
              <w:top w:w="70.0" w:type="dxa"/>
              <w:left w:w="110.0" w:type="dxa"/>
              <w:bottom w:w="70.0" w:type="dxa"/>
              <w:right w:w="110.0" w:type="dxa"/>
            </w:tcMar>
          </w:tcPr>
          <w:p w:rsidR="00000000" w:rsidDel="00000000" w:rsidP="00000000" w:rsidRDefault="00000000" w:rsidRPr="00000000" w14:paraId="00000009">
            <w:pPr>
              <w:spacing w:after="0" w:lineRule="auto"/>
              <w:rPr/>
            </w:pPr>
            <w:r w:rsidDel="00000000" w:rsidR="00000000" w:rsidRPr="00000000">
              <w:rPr>
                <w:b w:val="1"/>
                <w:bCs w:val="1"/>
                <w:color w:val="ffffff"/>
                <w:rtl w:val="0"/>
              </w:rPr>
              <w:t xml:space="preserve">Role</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2e75b6" w:val="clear"/>
            <w:tcMar>
              <w:top w:w="70.0" w:type="dxa"/>
              <w:left w:w="110.0" w:type="dxa"/>
              <w:bottom w:w="70.0" w:type="dxa"/>
              <w:right w:w="110.0" w:type="dxa"/>
            </w:tcMar>
          </w:tcPr>
          <w:p w:rsidR="00000000" w:rsidDel="00000000" w:rsidP="00000000" w:rsidRDefault="00000000" w:rsidRPr="00000000" w14:paraId="0000000A">
            <w:pPr>
              <w:spacing w:after="0" w:lineRule="auto"/>
              <w:rPr/>
            </w:pPr>
            <w:r w:rsidDel="00000000" w:rsidR="00000000" w:rsidRPr="00000000">
              <w:rPr>
                <w:b w:val="1"/>
                <w:bCs w:val="1"/>
                <w:color w:val="ffffff"/>
                <w:rtl w:val="0"/>
              </w:rPr>
              <w:t xml:space="preserve">Detail</w:t>
            </w:r>
            <w:r w:rsidDel="00000000" w:rsidR="00000000" w:rsidRPr="00000000">
              <w:rPr>
                <w:rtl w:val="0"/>
              </w:rPr>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0B">
            <w:pPr>
              <w:spacing w:after="0" w:lineRule="auto"/>
              <w:rPr/>
            </w:pPr>
            <w:r w:rsidDel="00000000" w:rsidR="00000000" w:rsidRPr="00000000">
              <w:rPr>
                <w:b w:val="1"/>
                <w:bCs w:val="1"/>
                <w:rtl w:val="0"/>
              </w:rPr>
              <w:t xml:space="preserve">Data processor</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0C">
            <w:pPr>
              <w:spacing w:after="0" w:lineRule="auto"/>
              <w:rPr/>
            </w:pPr>
            <w:r w:rsidDel="00000000" w:rsidR="00000000" w:rsidRPr="00000000">
              <w:rPr>
                <w:rtl w:val="0"/>
              </w:rPr>
              <w:t xml:space="preserve">Fraudfinder Ltd (company no. 10531940), 71–75 Shelton Street, London, WC2H 9JQ</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0D">
            <w:pPr>
              <w:spacing w:after="0" w:lineRule="auto"/>
              <w:rPr/>
            </w:pPr>
            <w:r w:rsidDel="00000000" w:rsidR="00000000" w:rsidRPr="00000000">
              <w:rPr>
                <w:b w:val="1"/>
                <w:bCs w:val="1"/>
                <w:rtl w:val="0"/>
              </w:rPr>
              <w:t xml:space="preserve">Accountable executive</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0E">
            <w:pPr>
              <w:spacing w:after="0" w:lineRule="auto"/>
              <w:rPr/>
            </w:pPr>
            <w:r w:rsidDel="00000000" w:rsidR="00000000" w:rsidRPr="00000000">
              <w:rPr>
                <w:rtl w:val="0"/>
              </w:rPr>
              <w:t xml:space="preserve">Alexander Siedes, CEO – alexander@fraudfinderai.com</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0F">
            <w:pPr>
              <w:spacing w:after="0" w:lineRule="auto"/>
              <w:rPr/>
            </w:pPr>
            <w:r w:rsidDel="00000000" w:rsidR="00000000" w:rsidRPr="00000000">
              <w:rPr>
                <w:b w:val="1"/>
                <w:bCs w:val="1"/>
                <w:rtl w:val="0"/>
              </w:rPr>
              <w:t xml:space="preserve">Data protection contact</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10">
            <w:pPr>
              <w:spacing w:after="0" w:lineRule="auto"/>
              <w:rPr/>
            </w:pPr>
            <w:r w:rsidDel="00000000" w:rsidR="00000000" w:rsidRPr="00000000">
              <w:rPr>
                <w:rtl w:val="0"/>
              </w:rPr>
              <w:t xml:space="preserve">privacy@fraudfinderai.com / security@fraudfinderai.com</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11">
            <w:pPr>
              <w:spacing w:after="0" w:lineRule="auto"/>
              <w:rPr/>
            </w:pPr>
            <w:r w:rsidDel="00000000" w:rsidR="00000000" w:rsidRPr="00000000">
              <w:rPr>
                <w:b w:val="1"/>
                <w:bCs w:val="1"/>
                <w:rtl w:val="0"/>
              </w:rPr>
              <w:t xml:space="preserve">Supervisory authority</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12">
            <w:pPr>
              <w:spacing w:after="0" w:lineRule="auto"/>
              <w:rPr/>
            </w:pPr>
            <w:r w:rsidDel="00000000" w:rsidR="00000000" w:rsidRPr="00000000">
              <w:rPr>
                <w:rtl w:val="0"/>
              </w:rPr>
              <w:t xml:space="preserve">Information Commissioner's Office (ICO), United Kingdom</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13">
            <w:pPr>
              <w:spacing w:after="0" w:lineRule="auto"/>
              <w:rPr/>
            </w:pPr>
            <w:r w:rsidDel="00000000" w:rsidR="00000000" w:rsidRPr="00000000">
              <w:rPr>
                <w:b w:val="1"/>
                <w:bCs w:val="1"/>
                <w:rtl w:val="0"/>
              </w:rPr>
              <w:t xml:space="preserve">DPO</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14">
            <w:pPr>
              <w:spacing w:after="0" w:lineRule="auto"/>
              <w:rPr/>
            </w:pPr>
            <w:r w:rsidDel="00000000" w:rsidR="00000000" w:rsidRPr="00000000">
              <w:rPr>
                <w:rtl w:val="0"/>
              </w:rPr>
              <w:t xml:space="preserve">A statutory DPO is not mandatory given scale and processing; data protection accountability sits with the CEO, supported by the Head of Technology.</w:t>
            </w:r>
          </w:p>
        </w:tc>
      </w:tr>
    </w:tbl>
    <w:p w:rsidR="00000000" w:rsidDel="00000000" w:rsidP="00000000" w:rsidRDefault="00000000" w:rsidRPr="00000000" w14:paraId="00000015">
      <w:pPr>
        <w:pStyle w:val="Heading1"/>
        <w:rPr/>
      </w:pPr>
      <w:r w:rsidDel="00000000" w:rsidR="00000000" w:rsidRPr="00000000">
        <w:rPr>
          <w:rtl w:val="0"/>
        </w:rPr>
        <w:t xml:space="preserve">3. Lawful basis</w:t>
      </w:r>
    </w:p>
    <w:p w:rsidR="00000000" w:rsidDel="00000000" w:rsidP="00000000" w:rsidRDefault="00000000" w:rsidRPr="00000000" w14:paraId="00000016">
      <w:pPr>
        <w:spacing w:after="120" w:lineRule="auto"/>
        <w:rPr/>
      </w:pPr>
      <w:r w:rsidDel="00000000" w:rsidR="00000000" w:rsidRPr="00000000">
        <w:rPr>
          <w:rtl w:val="0"/>
        </w:rPr>
        <w:t xml:space="preserve">As processor, Fraudfinder relies on the controller's lawful basis. The controller typically processes for the performance of a contract and for compliance with legal obligations (fraud prevention, anti-money-laundering), with the prevention of fraud recognised as a legitimate interest under UK GDPR. Fraudfinder processes strictly within the controller's instructions.</w:t>
      </w:r>
    </w:p>
    <w:p w:rsidR="00000000" w:rsidDel="00000000" w:rsidP="00000000" w:rsidRDefault="00000000" w:rsidRPr="00000000" w14:paraId="00000017">
      <w:pPr>
        <w:pStyle w:val="Heading1"/>
        <w:rPr/>
      </w:pPr>
      <w:r w:rsidDel="00000000" w:rsidR="00000000" w:rsidRPr="00000000">
        <w:rPr>
          <w:rtl w:val="0"/>
        </w:rPr>
        <w:t xml:space="preserve">4. Categories of personal data &amp; data subjects</w:t>
      </w:r>
    </w:p>
    <w:p w:rsidR="00000000" w:rsidDel="00000000" w:rsidP="00000000" w:rsidRDefault="00000000" w:rsidRPr="00000000" w14:paraId="00000018">
      <w:pPr>
        <w:spacing w:after="120" w:lineRule="auto"/>
        <w:rPr/>
      </w:pPr>
      <w:r w:rsidDel="00000000" w:rsidR="00000000" w:rsidRPr="00000000">
        <w:rPr>
          <w:rtl w:val="0"/>
        </w:rPr>
        <w:t xml:space="preserve">The service processes the minimum personal data necessary for fraud detection, drawn from documents submitted by the controller: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Identity data: name, date of birth, address and contact details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Financial and payment data: bank account numbers, sort codes, salary and transaction information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Employment data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Document and file metadata</w:t>
      </w:r>
    </w:p>
    <w:p w:rsidR="00000000" w:rsidDel="00000000" w:rsidP="00000000" w:rsidRDefault="00000000" w:rsidRPr="00000000" w14:paraId="0000001D">
      <w:pPr>
        <w:spacing w:after="60" w:lineRule="auto"/>
        <w:rPr/>
      </w:pPr>
      <w:r w:rsidDel="00000000" w:rsidR="00000000" w:rsidRPr="00000000">
        <w:rPr>
          <w:b w:val="1"/>
          <w:bCs w:val="1"/>
          <w:rtl w:val="0"/>
        </w:rPr>
        <w:t xml:space="preserve">Special category data: </w:t>
      </w:r>
      <w:r w:rsidDel="00000000" w:rsidR="00000000" w:rsidRPr="00000000">
        <w:rPr>
          <w:rtl w:val="0"/>
        </w:rPr>
        <w:t xml:space="preserve">none is required or intentionally processed.</w:t>
      </w:r>
    </w:p>
    <w:p w:rsidR="00000000" w:rsidDel="00000000" w:rsidP="00000000" w:rsidRDefault="00000000" w:rsidRPr="00000000" w14:paraId="0000001E">
      <w:pPr>
        <w:spacing w:after="120" w:lineRule="auto"/>
        <w:rPr/>
      </w:pPr>
      <w:r w:rsidDel="00000000" w:rsidR="00000000" w:rsidRPr="00000000">
        <w:rPr>
          <w:rtl w:val="0"/>
        </w:rPr>
        <w:t xml:space="preserve">Data subjects are the controller's applicants and customers, and named additional persons on those products (for example additional drivers, household members or claimants).</w:t>
      </w:r>
    </w:p>
    <w:p w:rsidR="00000000" w:rsidDel="00000000" w:rsidP="00000000" w:rsidRDefault="00000000" w:rsidRPr="00000000" w14:paraId="0000001F">
      <w:pPr>
        <w:pStyle w:val="Heading1"/>
        <w:rPr/>
      </w:pPr>
      <w:r w:rsidDel="00000000" w:rsidR="00000000" w:rsidRPr="00000000">
        <w:rPr>
          <w:rtl w:val="0"/>
        </w:rPr>
        <w:t xml:space="preserve">5. Data minimisation &amp; purpose limitation</w:t>
      </w:r>
    </w:p>
    <w:p w:rsidR="00000000" w:rsidDel="00000000" w:rsidP="00000000" w:rsidRDefault="00000000" w:rsidRPr="00000000" w14:paraId="00000020">
      <w:pPr>
        <w:spacing w:after="120" w:lineRule="auto"/>
        <w:rPr/>
      </w:pPr>
      <w:r w:rsidDel="00000000" w:rsidR="00000000" w:rsidRPr="00000000">
        <w:rPr>
          <w:rtl w:val="0"/>
        </w:rPr>
        <w:t xml:space="preserve">Fraudfinder processes only the data fields needed for the agreed fraud-prevention purpose and does not require the controller to supply additional fields. Personal data is used solely for real-time fraud assessment and is not used for any secondary purpose.</w:t>
      </w:r>
    </w:p>
    <w:p w:rsidR="00000000" w:rsidDel="00000000" w:rsidP="00000000" w:rsidRDefault="00000000" w:rsidRPr="00000000" w14:paraId="00000021">
      <w:pPr>
        <w:pStyle w:val="Heading1"/>
        <w:rPr/>
      </w:pPr>
      <w:r w:rsidDel="00000000" w:rsidR="00000000" w:rsidRPr="00000000">
        <w:rPr>
          <w:rtl w:val="0"/>
        </w:rPr>
        <w:t xml:space="preserve">6. Security of processing (Article 32)</w:t>
      </w:r>
    </w:p>
    <w:p w:rsidR="00000000" w:rsidDel="00000000" w:rsidP="00000000" w:rsidRDefault="00000000" w:rsidRPr="00000000" w14:paraId="00000022">
      <w:pPr>
        <w:spacing w:after="120" w:lineRule="auto"/>
        <w:rPr/>
      </w:pPr>
      <w:r w:rsidDel="00000000" w:rsidR="00000000" w:rsidRPr="00000000">
        <w:rPr>
          <w:rtl w:val="0"/>
        </w:rPr>
        <w:t xml:space="preserve">Appropriate technical and organisational measures are in place, including:</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Hosting in AWS eu-west-1 (Ireland) within a private VPC and GCP europe-west4 (Netherlands)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Encryption in transit (TLS 1.2/1.3) and at rest (AES-256 via AWS KMS)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Least-privilege IAM with enforced MFA on all administrative and production access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Continuous monitoring (GuardDuty, CloudTrail, Security Hub) and centralised, integrity-protected logging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Annual independent penetration testing (most recent ref. R1-PT85118-3868) and continuous vulnerability scanning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Cyber Essentials certification (Willow scheme, 29 April 2026) and an ISO 27001-aligned ISMS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8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Documented Information Security, Data Protection, Access Control, Incident Response, Background Check and Vulnerability policies, reviewed at least annually</w:t>
      </w:r>
    </w:p>
    <w:p w:rsidR="00000000" w:rsidDel="00000000" w:rsidP="00000000" w:rsidRDefault="00000000" w:rsidRPr="00000000" w14:paraId="0000002A">
      <w:pPr>
        <w:pStyle w:val="Heading1"/>
        <w:rPr/>
      </w:pPr>
      <w:r w:rsidDel="00000000" w:rsidR="00000000" w:rsidRPr="00000000">
        <w:rPr>
          <w:rtl w:val="0"/>
        </w:rPr>
        <w:t xml:space="preserve">7. Sub-processors</w:t>
      </w:r>
    </w:p>
    <w:p w:rsidR="00000000" w:rsidDel="00000000" w:rsidP="00000000" w:rsidRDefault="00000000" w:rsidRPr="00000000" w14:paraId="0000002B">
      <w:pPr>
        <w:spacing w:after="120" w:lineRule="auto"/>
        <w:rPr/>
      </w:pPr>
      <w:r w:rsidDel="00000000" w:rsidR="00000000" w:rsidRPr="00000000">
        <w:rPr>
          <w:rtl w:val="0"/>
        </w:rPr>
        <w:t xml:space="preserve">Fraudfinder maintains a sub-processor register and engages sub-processors only under written contracts imposing equivalent data protection obligations. The controller is informed of intended additions or changes and may object. Current sub-processors include:</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9d3e0" w:space="0" w:sz="4" w:val="single"/>
              <w:left w:color="c9d3e0" w:space="0" w:sz="4" w:val="single"/>
              <w:bottom w:color="c9d3e0" w:space="0" w:sz="4" w:val="single"/>
              <w:right w:color="c9d3e0" w:space="0" w:sz="4" w:val="single"/>
            </w:tcBorders>
            <w:shd w:fill="2e75b6" w:val="clear"/>
            <w:tcMar>
              <w:top w:w="70.0" w:type="dxa"/>
              <w:left w:w="110.0" w:type="dxa"/>
              <w:bottom w:w="70.0" w:type="dxa"/>
              <w:right w:w="110.0" w:type="dxa"/>
            </w:tcMar>
          </w:tcPr>
          <w:p w:rsidR="00000000" w:rsidDel="00000000" w:rsidP="00000000" w:rsidRDefault="00000000" w:rsidRPr="00000000" w14:paraId="0000002C">
            <w:pPr>
              <w:spacing w:after="0" w:lineRule="auto"/>
              <w:rPr/>
            </w:pPr>
            <w:r w:rsidDel="00000000" w:rsidR="00000000" w:rsidRPr="00000000">
              <w:rPr>
                <w:b w:val="1"/>
                <w:bCs w:val="1"/>
                <w:color w:val="ffffff"/>
                <w:rtl w:val="0"/>
              </w:rPr>
              <w:t xml:space="preserve">Sub-processor</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2e75b6" w:val="clear"/>
            <w:tcMar>
              <w:top w:w="70.0" w:type="dxa"/>
              <w:left w:w="110.0" w:type="dxa"/>
              <w:bottom w:w="70.0" w:type="dxa"/>
              <w:right w:w="110.0" w:type="dxa"/>
            </w:tcMar>
          </w:tcPr>
          <w:p w:rsidR="00000000" w:rsidDel="00000000" w:rsidP="00000000" w:rsidRDefault="00000000" w:rsidRPr="00000000" w14:paraId="0000002D">
            <w:pPr>
              <w:spacing w:after="0" w:lineRule="auto"/>
              <w:rPr/>
            </w:pPr>
            <w:r w:rsidDel="00000000" w:rsidR="00000000" w:rsidRPr="00000000">
              <w:rPr>
                <w:b w:val="1"/>
                <w:bCs w:val="1"/>
                <w:color w:val="ffffff"/>
                <w:rtl w:val="0"/>
              </w:rPr>
              <w:t xml:space="preserve">Function</w:t>
            </w:r>
            <w:r w:rsidDel="00000000" w:rsidR="00000000" w:rsidRPr="00000000">
              <w:rPr>
                <w:rtl w:val="0"/>
              </w:rPr>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2E">
            <w:pPr>
              <w:spacing w:after="0" w:lineRule="auto"/>
              <w:rPr/>
            </w:pPr>
            <w:r w:rsidDel="00000000" w:rsidR="00000000" w:rsidRPr="00000000">
              <w:rPr>
                <w:b w:val="1"/>
                <w:bCs w:val="1"/>
                <w:rtl w:val="0"/>
              </w:rPr>
              <w:t xml:space="preserve">Amazon Web Services</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2F">
            <w:pPr>
              <w:spacing w:after="0" w:lineRule="auto"/>
              <w:rPr/>
            </w:pPr>
            <w:r w:rsidDel="00000000" w:rsidR="00000000" w:rsidRPr="00000000">
              <w:rPr>
                <w:rtl w:val="0"/>
              </w:rPr>
              <w:t xml:space="preserve">Cloud hosting and storage (eu-west-1, Ireland)</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0">
            <w:pPr>
              <w:spacing w:after="0" w:lineRule="auto"/>
              <w:rPr/>
            </w:pPr>
            <w:r w:rsidDel="00000000" w:rsidR="00000000" w:rsidRPr="00000000">
              <w:rPr>
                <w:b w:val="1"/>
                <w:bCs w:val="1"/>
                <w:rtl w:val="0"/>
              </w:rPr>
              <w:t xml:space="preserve">Google Cloud</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1">
            <w:pPr>
              <w:spacing w:after="0" w:lineRule="auto"/>
              <w:rPr/>
            </w:pPr>
            <w:r w:rsidDel="00000000" w:rsidR="00000000" w:rsidRPr="00000000">
              <w:rPr>
                <w:rtl w:val="0"/>
              </w:rPr>
              <w:t xml:space="preserve">ML / document AI processing (europe-west4, Netherlands)</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32">
            <w:pPr>
              <w:spacing w:after="0" w:lineRule="auto"/>
              <w:rPr/>
            </w:pPr>
            <w:r w:rsidDel="00000000" w:rsidR="00000000" w:rsidRPr="00000000">
              <w:rPr>
                <w:b w:val="1"/>
                <w:bCs w:val="1"/>
                <w:rtl w:val="0"/>
              </w:rPr>
              <w:t xml:space="preserve">OpenAI</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33">
            <w:pPr>
              <w:spacing w:after="0" w:lineRule="auto"/>
              <w:rPr/>
            </w:pPr>
            <w:r w:rsidDel="00000000" w:rsidR="00000000" w:rsidRPr="00000000">
              <w:rPr>
                <w:rtl w:val="0"/>
              </w:rPr>
              <w:t xml:space="preserve">AI / LLM processing components</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4">
            <w:pPr>
              <w:spacing w:after="0" w:lineRule="auto"/>
              <w:rPr/>
            </w:pPr>
            <w:r w:rsidDel="00000000" w:rsidR="00000000" w:rsidRPr="00000000">
              <w:rPr>
                <w:b w:val="1"/>
                <w:bCs w:val="1"/>
                <w:rtl w:val="0"/>
              </w:rPr>
              <w:t xml:space="preserve">SendGrid / Twilio</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5">
            <w:pPr>
              <w:spacing w:after="0" w:lineRule="auto"/>
              <w:rPr/>
            </w:pPr>
            <w:r w:rsidDel="00000000" w:rsidR="00000000" w:rsidRPr="00000000">
              <w:rPr>
                <w:rtl w:val="0"/>
              </w:rPr>
              <w:t xml:space="preserve">Transactional email and communications</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36">
            <w:pPr>
              <w:spacing w:after="0" w:lineRule="auto"/>
              <w:rPr/>
            </w:pPr>
            <w:r w:rsidDel="00000000" w:rsidR="00000000" w:rsidRPr="00000000">
              <w:rPr>
                <w:b w:val="1"/>
                <w:bCs w:val="1"/>
                <w:rtl w:val="0"/>
              </w:rPr>
              <w:t xml:space="preserve">Sentry</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37">
            <w:pPr>
              <w:spacing w:after="0" w:lineRule="auto"/>
              <w:rPr/>
            </w:pPr>
            <w:r w:rsidDel="00000000" w:rsidR="00000000" w:rsidRPr="00000000">
              <w:rPr>
                <w:rtl w:val="0"/>
              </w:rPr>
              <w:t xml:space="preserve">Error monitoring</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8">
            <w:pPr>
              <w:spacing w:after="0" w:lineRule="auto"/>
              <w:rPr/>
            </w:pPr>
            <w:r w:rsidDel="00000000" w:rsidR="00000000" w:rsidRPr="00000000">
              <w:rPr>
                <w:b w:val="1"/>
                <w:bCs w:val="1"/>
                <w:rtl w:val="0"/>
              </w:rPr>
              <w:t xml:space="preserve">Pulsedive</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9">
            <w:pPr>
              <w:spacing w:after="0" w:lineRule="auto"/>
              <w:rPr/>
            </w:pPr>
            <w:r w:rsidDel="00000000" w:rsidR="00000000" w:rsidRPr="00000000">
              <w:rPr>
                <w:rtl w:val="0"/>
              </w:rPr>
              <w:t xml:space="preserve">Threat intelligence</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3A">
            <w:pPr>
              <w:spacing w:after="0" w:lineRule="auto"/>
              <w:rPr/>
            </w:pPr>
            <w:r w:rsidDel="00000000" w:rsidR="00000000" w:rsidRPr="00000000">
              <w:rPr>
                <w:b w:val="1"/>
                <w:bCs w:val="1"/>
                <w:rtl w:val="0"/>
              </w:rPr>
              <w:t xml:space="preserve">Netlify</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4f8fc" w:val="clear"/>
            <w:tcMar>
              <w:top w:w="70.0" w:type="dxa"/>
              <w:left w:w="110.0" w:type="dxa"/>
              <w:bottom w:w="70.0" w:type="dxa"/>
              <w:right w:w="110.0" w:type="dxa"/>
            </w:tcMar>
          </w:tcPr>
          <w:p w:rsidR="00000000" w:rsidDel="00000000" w:rsidP="00000000" w:rsidRDefault="00000000" w:rsidRPr="00000000" w14:paraId="0000003B">
            <w:pPr>
              <w:spacing w:after="0" w:lineRule="auto"/>
              <w:rPr/>
            </w:pPr>
            <w:r w:rsidDel="00000000" w:rsidR="00000000" w:rsidRPr="00000000">
              <w:rPr>
                <w:rtl w:val="0"/>
              </w:rPr>
              <w:t xml:space="preserve">Front-end hosting</w:t>
            </w:r>
          </w:p>
        </w:tc>
      </w:tr>
      <w:tr>
        <w:trPr>
          <w:cantSplit w:val="0"/>
          <w:tblHeader w:val="0"/>
        </w:trPr>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C">
            <w:pPr>
              <w:spacing w:after="0" w:lineRule="auto"/>
              <w:rPr/>
            </w:pPr>
            <w:r w:rsidDel="00000000" w:rsidR="00000000" w:rsidRPr="00000000">
              <w:rPr>
                <w:b w:val="1"/>
                <w:bCs w:val="1"/>
                <w:rtl w:val="0"/>
              </w:rPr>
              <w:t xml:space="preserve">Google Workspace</w:t>
            </w:r>
            <w:r w:rsidDel="00000000" w:rsidR="00000000" w:rsidRPr="00000000">
              <w:rPr>
                <w:rtl w:val="0"/>
              </w:rPr>
            </w:r>
          </w:p>
        </w:tc>
        <w:tc>
          <w:tcPr>
            <w:tcBorders>
              <w:top w:color="c9d3e0" w:space="0" w:sz="4" w:val="single"/>
              <w:left w:color="c9d3e0" w:space="0" w:sz="4" w:val="single"/>
              <w:bottom w:color="c9d3e0" w:space="0" w:sz="4" w:val="single"/>
              <w:right w:color="c9d3e0" w:space="0" w:sz="4" w:val="single"/>
            </w:tcBorders>
            <w:shd w:fill="ffffff" w:val="clear"/>
            <w:tcMar>
              <w:top w:w="70.0" w:type="dxa"/>
              <w:left w:w="110.0" w:type="dxa"/>
              <w:bottom w:w="70.0" w:type="dxa"/>
              <w:right w:w="110.0" w:type="dxa"/>
            </w:tcMar>
          </w:tcPr>
          <w:p w:rsidR="00000000" w:rsidDel="00000000" w:rsidP="00000000" w:rsidRDefault="00000000" w:rsidRPr="00000000" w14:paraId="0000003D">
            <w:pPr>
              <w:spacing w:after="0" w:lineRule="auto"/>
              <w:rPr/>
            </w:pPr>
            <w:r w:rsidDel="00000000" w:rsidR="00000000" w:rsidRPr="00000000">
              <w:rPr>
                <w:rtl w:val="0"/>
              </w:rPr>
              <w:t xml:space="preserve">Internal productivity and identity</w:t>
            </w:r>
          </w:p>
        </w:tc>
      </w:tr>
    </w:tbl>
    <w:p w:rsidR="00000000" w:rsidDel="00000000" w:rsidP="00000000" w:rsidRDefault="00000000" w:rsidRPr="00000000" w14:paraId="0000003E">
      <w:pPr>
        <w:pStyle w:val="Heading1"/>
        <w:rPr/>
      </w:pPr>
      <w:r w:rsidDel="00000000" w:rsidR="00000000" w:rsidRPr="00000000">
        <w:rPr>
          <w:rtl w:val="0"/>
        </w:rPr>
        <w:t xml:space="preserve">8. International transfers</w:t>
      </w:r>
    </w:p>
    <w:p w:rsidR="00000000" w:rsidDel="00000000" w:rsidP="00000000" w:rsidRDefault="00000000" w:rsidRPr="00000000" w14:paraId="0000003F">
      <w:pPr>
        <w:spacing w:after="120" w:lineRule="auto"/>
        <w:rPr/>
      </w:pPr>
      <w:r w:rsidDel="00000000" w:rsidR="00000000" w:rsidRPr="00000000">
        <w:rPr>
          <w:rtl w:val="0"/>
        </w:rPr>
        <w:t xml:space="preserve">Personal data is hosted in the UK/EEA (Ireland and the Netherlands). Any transfer to a third country is made only on the controller's documented instructions and under an appropriate safeguard (UK International Data Transfer Agreement / Addendum to the EU Standard Contractual Clauses), with a transfer risk assessment where required.</w:t>
      </w:r>
    </w:p>
    <w:p w:rsidR="00000000" w:rsidDel="00000000" w:rsidP="00000000" w:rsidRDefault="00000000" w:rsidRPr="00000000" w14:paraId="00000040">
      <w:pPr>
        <w:pStyle w:val="Heading1"/>
        <w:rPr/>
      </w:pPr>
      <w:r w:rsidDel="00000000" w:rsidR="00000000" w:rsidRPr="00000000">
        <w:rPr>
          <w:rtl w:val="0"/>
        </w:rPr>
        <w:t xml:space="preserve">9. Retention &amp; deletion</w:t>
      </w:r>
    </w:p>
    <w:p w:rsidR="00000000" w:rsidDel="00000000" w:rsidP="00000000" w:rsidRDefault="00000000" w:rsidRPr="00000000" w14:paraId="00000041">
      <w:pPr>
        <w:spacing w:after="120" w:lineRule="auto"/>
        <w:rPr/>
      </w:pPr>
      <w:r w:rsidDel="00000000" w:rsidR="00000000" w:rsidRPr="00000000">
        <w:rPr>
          <w:rtl w:val="0"/>
        </w:rPr>
        <w:t xml:space="preserve">Personal data is retained only as long as necessary for the fraud-prevention purpose. Raw payment-related data is not retained beyond 30 days unless required for an active fraud investigation. Derived fraud-risk scores are retained per the service agreement. On termination, Fraudfinder deletes or returns personal data at the controller's election.</w:t>
      </w:r>
    </w:p>
    <w:p w:rsidR="00000000" w:rsidDel="00000000" w:rsidP="00000000" w:rsidRDefault="00000000" w:rsidRPr="00000000" w14:paraId="00000042">
      <w:pPr>
        <w:pStyle w:val="Heading1"/>
        <w:rPr/>
      </w:pPr>
      <w:r w:rsidDel="00000000" w:rsidR="00000000" w:rsidRPr="00000000">
        <w:rPr>
          <w:rtl w:val="0"/>
        </w:rPr>
        <w:t xml:space="preserve">10. Data subject rights</w:t>
      </w:r>
    </w:p>
    <w:p w:rsidR="00000000" w:rsidDel="00000000" w:rsidP="00000000" w:rsidRDefault="00000000" w:rsidRPr="00000000" w14:paraId="00000043">
      <w:pPr>
        <w:spacing w:after="120" w:lineRule="auto"/>
        <w:rPr/>
      </w:pPr>
      <w:r w:rsidDel="00000000" w:rsidR="00000000" w:rsidRPr="00000000">
        <w:rPr>
          <w:rtl w:val="0"/>
        </w:rPr>
        <w:t xml:space="preserve">Fraudfinder provides reasonable assistance to enable the controller to respond to data subject requests (access, rectification, erasure, restriction, portability and objection) and to challenges, within the timeframes required by the controller.</w:t>
      </w:r>
    </w:p>
    <w:p w:rsidR="00000000" w:rsidDel="00000000" w:rsidP="00000000" w:rsidRDefault="00000000" w:rsidRPr="00000000" w14:paraId="00000044">
      <w:pPr>
        <w:pStyle w:val="Heading1"/>
        <w:rPr/>
      </w:pPr>
      <w:r w:rsidDel="00000000" w:rsidR="00000000" w:rsidRPr="00000000">
        <w:rPr>
          <w:rtl w:val="0"/>
        </w:rPr>
        <w:t xml:space="preserve">11. Personal data breaches (Articles 33 &amp; 34)</w:t>
      </w:r>
    </w:p>
    <w:p w:rsidR="00000000" w:rsidDel="00000000" w:rsidP="00000000" w:rsidRDefault="00000000" w:rsidRPr="00000000" w14:paraId="00000045">
      <w:pPr>
        <w:spacing w:after="120" w:lineRule="auto"/>
        <w:rPr/>
      </w:pPr>
      <w:r w:rsidDel="00000000" w:rsidR="00000000" w:rsidRPr="00000000">
        <w:rPr>
          <w:rtl w:val="0"/>
        </w:rPr>
        <w:t xml:space="preserve">Fraudfinder operates a documented Incident Response Policy with defined breach thresholds. The controller is notified without undue delay (within 72 hours of confirmation; Sev 1 within 4 hours) with the information needed for the controller to meet its own ICO and data subject notification obligations.</w:t>
      </w:r>
    </w:p>
    <w:p w:rsidR="00000000" w:rsidDel="00000000" w:rsidP="00000000" w:rsidRDefault="00000000" w:rsidRPr="00000000" w14:paraId="00000046">
      <w:pPr>
        <w:pStyle w:val="Heading1"/>
        <w:rPr/>
      </w:pPr>
      <w:r w:rsidDel="00000000" w:rsidR="00000000" w:rsidRPr="00000000">
        <w:rPr>
          <w:rtl w:val="0"/>
        </w:rPr>
        <w:t xml:space="preserve">12. Records, training &amp; confidentiality</w:t>
      </w:r>
    </w:p>
    <w:p w:rsidR="00000000" w:rsidDel="00000000" w:rsidP="00000000" w:rsidRDefault="00000000" w:rsidRPr="00000000" w14:paraId="00000047">
      <w:pPr>
        <w:spacing w:after="120" w:lineRule="auto"/>
        <w:rPr/>
      </w:pPr>
      <w:r w:rsidDel="00000000" w:rsidR="00000000" w:rsidRPr="00000000">
        <w:rPr>
          <w:rtl w:val="0"/>
        </w:rPr>
        <w:t xml:space="preserve">Fraudfinder maintains records of processing activities under Article 30. Personnel with access to personal data are bound by confidentiality, complete data protection training at onboarding and annually, and access is granted on a least-privilege, need-to-know basis.</w:t>
      </w:r>
    </w:p>
    <w:p w:rsidR="00000000" w:rsidDel="00000000" w:rsidP="00000000" w:rsidRDefault="00000000" w:rsidRPr="00000000" w14:paraId="00000048">
      <w:pPr>
        <w:pStyle w:val="Heading1"/>
        <w:rPr/>
      </w:pPr>
      <w:r w:rsidDel="00000000" w:rsidR="00000000" w:rsidRPr="00000000">
        <w:rPr>
          <w:rtl w:val="0"/>
        </w:rPr>
        <w:t xml:space="preserve">13. Assurance &amp; contact</w:t>
      </w:r>
    </w:p>
    <w:p w:rsidR="00000000" w:rsidDel="00000000" w:rsidP="00000000" w:rsidRDefault="00000000" w:rsidRPr="00000000" w14:paraId="00000049">
      <w:pPr>
        <w:spacing w:after="120" w:lineRule="auto"/>
        <w:rPr/>
      </w:pPr>
      <w:r w:rsidDel="00000000" w:rsidR="00000000" w:rsidRPr="00000000">
        <w:rPr>
          <w:rtl w:val="0"/>
        </w:rPr>
        <w:t xml:space="preserve">Evidence including policies, the penetration test report, the Cyber Essentials certificate and the sub-processor list is available on request under NDA.</w:t>
      </w:r>
    </w:p>
    <w:p w:rsidR="00000000" w:rsidDel="00000000" w:rsidP="00000000" w:rsidRDefault="00000000" w:rsidRPr="00000000" w14:paraId="0000004A">
      <w:pPr>
        <w:spacing w:after="120" w:lineRule="auto"/>
        <w:rPr/>
      </w:pPr>
      <w:r w:rsidDel="00000000" w:rsidR="00000000" w:rsidRPr="00000000">
        <w:rPr>
          <w:b w:val="1"/>
          <w:bCs w:val="1"/>
          <w:rtl w:val="0"/>
        </w:rPr>
        <w:t xml:space="preserve">Alexander Siedes</w:t>
      </w:r>
      <w:r w:rsidDel="00000000" w:rsidR="00000000" w:rsidRPr="00000000">
        <w:rPr>
          <w:rtl w:val="0"/>
        </w:rPr>
        <w:t xml:space="preserve">, CEO, Fraudfinder Ltd — alexander@fraudfinderai.com — 16 June 2026</w:t>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color="c9d3e0" w:space="3" w:sz="4" w:val="single"/>
      </w:pBdr>
      <w:tabs>
        <w:tab w:val="right" w:leader="none" w:pos="9360"/>
      </w:tabs>
      <w:rPr/>
    </w:pPr>
    <w:r w:rsidDel="00000000" w:rsidR="00000000" w:rsidRPr="00000000">
      <w:rPr>
        <w:color w:val="555555"/>
        <w:sz w:val="16"/>
        <w:szCs w:val="16"/>
        <w:rtl w:val="0"/>
      </w:rPr>
      <w:t xml:space="preserve">Confidential – prepared for MoneyboxPage </w:t>
    </w:r>
    <w:r w:rsidDel="00000000" w:rsidR="00000000" w:rsidRPr="00000000">
      <w:rPr>
        <w:color w:val="555555"/>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bottom w:color="c9d3e0" w:space="3" w:sz="4" w:val="single"/>
      </w:pBdr>
      <w:tabs>
        <w:tab w:val="right" w:leader="none" w:pos="9360"/>
      </w:tabs>
      <w:rPr/>
    </w:pPr>
    <w:r w:rsidDel="00000000" w:rsidR="00000000" w:rsidRPr="00000000">
      <w:rPr>
        <w:b w:val="1"/>
        <w:bCs w:val="1"/>
        <w:color w:val="1f2a44"/>
        <w:sz w:val="18"/>
        <w:szCs w:val="18"/>
        <w:rtl w:val="0"/>
      </w:rPr>
      <w:t xml:space="preserve">Fraudfinder Ltd</w:t>
    </w:r>
    <w:r w:rsidDel="00000000" w:rsidR="00000000" w:rsidRPr="00000000">
      <w:rPr>
        <w:color w:val="555555"/>
        <w:sz w:val="18"/>
        <w:szCs w:val="18"/>
        <w:rtl w:val="0"/>
      </w:rPr>
      <w:t xml:space="preserve">UK GDPR Compliance Statement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2e75b6" w:space="4" w:sz="6" w:val="single"/>
        <w:right w:space="0" w:sz="0" w:val="nil"/>
        <w:between w:space="0" w:sz="0" w:val="nil"/>
      </w:pBdr>
      <w:shd w:fill="auto" w:val="clear"/>
      <w:spacing w:after="140" w:before="300" w:line="240" w:lineRule="auto"/>
      <w:ind w:left="0" w:right="0" w:firstLine="0"/>
      <w:jc w:val="left"/>
    </w:pPr>
    <w:rPr>
      <w:rFonts w:ascii="Arial" w:cs="Arial" w:eastAsia="Arial" w:hAnsi="Arial"/>
      <w:b w:val="1"/>
      <w:bCs w:val="1"/>
      <w:i w:val="0"/>
      <w:iCs w:val="0"/>
      <w:smallCaps w:val="0"/>
      <w:strike w:val="0"/>
      <w:color w:val="1f2a44"/>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e75b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22222"/>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